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57.png" ContentType="image/png"/>
  <Override PartName="/word/media/rId61.png" ContentType="image/png"/>
  <Override PartName="/word/media/rId65.png" ContentType="image/png"/>
  <Override PartName="/word/media/rId69.png" ContentType="image/png"/>
  <Override PartName="/word/media/rId73.png" ContentType="image/png"/>
  <Override PartName="/word/media/rId77.png" ContentType="image/png"/>
  <Override PartName="/word/media/rId81.png" ContentType="image/png"/>
  <Override PartName="/word/media/rId85.png" ContentType="image/png"/>
  <Override PartName="/word/media/rId89.png" ContentType="image/png"/>
  <Override PartName="/word/media/rId93.png" ContentType="image/png"/>
  <Override PartName="/word/media/rId25.png" ContentType="image/png"/>
  <Override PartName="/word/media/rId97.png" ContentType="image/png"/>
  <Override PartName="/word/media/rId101.png" ContentType="image/png"/>
  <Override PartName="/word/media/rId105.png" ContentType="image/png"/>
  <Override PartName="/word/media/rId109.png" ContentType="image/png"/>
  <Override PartName="/word/media/rId29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  <Override PartName="/word/media/rId5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лабораторной работе №13</w:t>
      </w:r>
    </w:p>
    <w:p>
      <w:pPr>
        <w:pStyle w:val="Subtitle"/>
      </w:pPr>
      <w:r>
        <w:t xml:space="preserve">НПИбд-02-22</w:t>
      </w:r>
    </w:p>
    <w:p>
      <w:pPr>
        <w:pStyle w:val="Author"/>
      </w:pPr>
      <w:r>
        <w:t xml:space="preserve">Чесноков Артемий Павлович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sdt>
      <w:sdtPr>
        <w:docPartObj>
          <w:docPartGallery w:val="List of Tables"/>
          <w:docPartUnique/>
        </w:docPartObj>
      </w:sdtPr>
      <w:sdtContent>
        <w:p>
          <w:pPr>
            <w:pStyle w:val="TOCHeading"/>
          </w:pPr>
          <w:r>
            <w:t xml:space="preserve">Список таблиц</w:t>
          </w:r>
        </w:p>
        <w:p>
          <w:r>
            <w:fldChar w:fldCharType="begin" w:dirty="true"/>
            <w:instrText xml:space="preserve">TOC \h \z \t "Table Caption" \c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Провести подготовительные мероприятия по организации взаимодействия</w:t>
      </w:r>
      <w:r>
        <w:t xml:space="preserve"> </w:t>
      </w:r>
      <w:r>
        <w:t xml:space="preserve">через сеть провайдера посредством статической маршрутизации локальной</w:t>
      </w:r>
      <w:r>
        <w:t xml:space="preserve"> </w:t>
      </w:r>
      <w:r>
        <w:t xml:space="preserve">сети с сетью основного здания, расположенного в 42-м квартале в Москве,</w:t>
      </w:r>
      <w:r>
        <w:t xml:space="preserve"> </w:t>
      </w:r>
      <w:r>
        <w:t xml:space="preserve">и сетью филиала, расположенного в г. Сочи.</w:t>
      </w:r>
    </w:p>
    <w:bookmarkEnd w:id="20"/>
    <w:bookmarkStart w:id="113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Выделяем области для новых частей сети (рис. 1).</w:t>
      </w:r>
    </w:p>
    <w:bookmarkStart w:id="24" w:name="fig:001"/>
    <w:p>
      <w:pPr>
        <w:pStyle w:val="CaptionedFigure"/>
      </w:pPr>
      <w:r>
        <w:drawing>
          <wp:inline>
            <wp:extent cx="3733800" cy="2000986"/>
            <wp:effectExtent b="0" l="0" r="0" t="0"/>
            <wp:docPr descr="Рис. 1: квартал 42, сочи-филиал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009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квартал 42, сочи-филиал</w:t>
      </w:r>
    </w:p>
    <w:bookmarkEnd w:id="24"/>
    <w:p>
      <w:pPr>
        <w:pStyle w:val="BodyText"/>
      </w:pPr>
      <w:r>
        <w:t xml:space="preserve">Размещаем все необходимые устройства (рис. 2).</w:t>
      </w:r>
    </w:p>
    <w:bookmarkStart w:id="28" w:name="fig:002"/>
    <w:p>
      <w:pPr>
        <w:pStyle w:val="CaptionedFigure"/>
      </w:pPr>
      <w:r>
        <w:drawing>
          <wp:inline>
            <wp:extent cx="3733800" cy="1164645"/>
            <wp:effectExtent b="0" l="0" r="0" t="0"/>
            <wp:docPr descr="Рис. 2: на территории новых областей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646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на территории новых областей</w:t>
      </w:r>
    </w:p>
    <w:bookmarkEnd w:id="28"/>
    <w:p>
      <w:pPr>
        <w:pStyle w:val="BodyText"/>
      </w:pPr>
      <w:r>
        <w:t xml:space="preserve">Называем наши устройства в соответствии с соглашением об именовании (рис. 3).</w:t>
      </w:r>
    </w:p>
    <w:bookmarkStart w:id="32" w:name="fig:003"/>
    <w:p>
      <w:pPr>
        <w:pStyle w:val="CaptionedFigure"/>
      </w:pPr>
      <w:r>
        <w:drawing>
          <wp:inline>
            <wp:extent cx="3733800" cy="1164645"/>
            <wp:effectExtent b="0" l="0" r="0" t="0"/>
            <wp:docPr descr="Рис. 3: назвали" title="" id="30" name="Picture"/>
            <a:graphic>
              <a:graphicData uri="http://schemas.openxmlformats.org/drawingml/2006/picture">
                <pic:pic>
                  <pic:nvPicPr>
                    <pic:cNvPr descr="image/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646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назвали</w:t>
      </w:r>
    </w:p>
    <w:bookmarkEnd w:id="32"/>
    <w:p>
      <w:pPr>
        <w:pStyle w:val="BodyText"/>
      </w:pPr>
      <w:r>
        <w:t xml:space="preserve">Добавляем дополнительный интерфейс</w:t>
      </w:r>
      <w:r>
        <w:t xml:space="preserve"> </w:t>
      </w:r>
      <w:r>
        <w:t xml:space="preserve">NM-2FE2W (рис. 4) .</w:t>
      </w:r>
    </w:p>
    <w:bookmarkStart w:id="36" w:name="fig:004"/>
    <w:p>
      <w:pPr>
        <w:pStyle w:val="CaptionedFigure"/>
      </w:pPr>
      <w:r>
        <w:drawing>
          <wp:inline>
            <wp:extent cx="3733800" cy="1710742"/>
            <wp:effectExtent b="0" l="0" r="0" t="0"/>
            <wp:docPr descr="Рис. 4: на msk-q42-gw-1" title="" id="34" name="Picture"/>
            <a:graphic>
              <a:graphicData uri="http://schemas.openxmlformats.org/drawingml/2006/picture">
                <pic:pic>
                  <pic:nvPicPr>
                    <pic:cNvPr descr="image/4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107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на msk-q42-gw-1</w:t>
      </w:r>
    </w:p>
    <w:bookmarkEnd w:id="36"/>
    <w:p>
      <w:pPr>
        <w:pStyle w:val="BodyText"/>
      </w:pPr>
      <w:r>
        <w:t xml:space="preserve">Заменим модули на повторителях (рис. 5).</w:t>
      </w:r>
    </w:p>
    <w:bookmarkStart w:id="40" w:name="fig:005"/>
    <w:p>
      <w:pPr>
        <w:pStyle w:val="CaptionedFigure"/>
      </w:pPr>
      <w:r>
        <w:drawing>
          <wp:inline>
            <wp:extent cx="3733800" cy="1710742"/>
            <wp:effectExtent b="0" l="0" r="0" t="0"/>
            <wp:docPr descr="Рис. 5: пример для msk-q42-mc-1" title="" id="38" name="Picture"/>
            <a:graphic>
              <a:graphicData uri="http://schemas.openxmlformats.org/drawingml/2006/picture">
                <pic:pic>
                  <pic:nvPicPr>
                    <pic:cNvPr descr="image/5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107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пример для msk-q42-mc-1</w:t>
      </w:r>
    </w:p>
    <w:bookmarkEnd w:id="40"/>
    <w:p>
      <w:pPr>
        <w:pStyle w:val="BodyText"/>
      </w:pPr>
      <w:r>
        <w:t xml:space="preserve">Добавляем в физическую область здание 42 квартала (рис. 6)</w:t>
      </w:r>
    </w:p>
    <w:bookmarkStart w:id="44" w:name="fig:006"/>
    <w:p>
      <w:pPr>
        <w:pStyle w:val="CaptionedFigure"/>
      </w:pPr>
      <w:r>
        <w:drawing>
          <wp:inline>
            <wp:extent cx="3733800" cy="2224600"/>
            <wp:effectExtent b="0" l="0" r="0" t="0"/>
            <wp:docPr descr="Рис. 6: называем его q42" title="" id="42" name="Picture"/>
            <a:graphic>
              <a:graphicData uri="http://schemas.openxmlformats.org/drawingml/2006/picture">
                <pic:pic>
                  <pic:nvPicPr>
                    <pic:cNvPr descr="image/6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24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называем его q42</w:t>
      </w:r>
    </w:p>
    <w:bookmarkEnd w:id="44"/>
    <w:p>
      <w:pPr>
        <w:pStyle w:val="BodyText"/>
      </w:pPr>
      <w:r>
        <w:t xml:space="preserve">Создаем город Sochi(рис. 7)</w:t>
      </w:r>
    </w:p>
    <w:bookmarkStart w:id="48" w:name="fig:007"/>
    <w:p>
      <w:pPr>
        <w:pStyle w:val="CaptionedFigure"/>
      </w:pPr>
      <w:r>
        <w:drawing>
          <wp:inline>
            <wp:extent cx="3733800" cy="2224600"/>
            <wp:effectExtent b="0" l="0" r="0" t="0"/>
            <wp:docPr descr="Рис. 7: называем его sochi" title="" id="46" name="Picture"/>
            <a:graphic>
              <a:graphicData uri="http://schemas.openxmlformats.org/drawingml/2006/picture">
                <pic:pic>
                  <pic:nvPicPr>
                    <pic:cNvPr descr="image/7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24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называем его sochi</w:t>
      </w:r>
    </w:p>
    <w:bookmarkEnd w:id="48"/>
    <w:p>
      <w:pPr>
        <w:pStyle w:val="BodyText"/>
      </w:pPr>
      <w:r>
        <w:t xml:space="preserve">Создаем здание филиала(рис. 8).</w:t>
      </w:r>
    </w:p>
    <w:bookmarkStart w:id="52" w:name="fig:008"/>
    <w:p>
      <w:pPr>
        <w:pStyle w:val="CaptionedFigure"/>
      </w:pPr>
      <w:r>
        <w:drawing>
          <wp:inline>
            <wp:extent cx="3733800" cy="2085005"/>
            <wp:effectExtent b="0" l="0" r="0" t="0"/>
            <wp:docPr descr="Рис. 8: называем его sch" title="" id="50" name="Picture"/>
            <a:graphic>
              <a:graphicData uri="http://schemas.openxmlformats.org/drawingml/2006/picture">
                <pic:pic>
                  <pic:nvPicPr>
                    <pic:cNvPr descr="image/8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850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называем его sch</w:t>
      </w:r>
    </w:p>
    <w:bookmarkEnd w:id="52"/>
    <w:p>
      <w:pPr>
        <w:pStyle w:val="BodyText"/>
      </w:pPr>
      <w:r>
        <w:t xml:space="preserve">Пример того как должна выглядеть физическая область для простраснства q42(рис. 9).</w:t>
      </w:r>
    </w:p>
    <w:bookmarkStart w:id="56" w:name="fig:009"/>
    <w:p>
      <w:pPr>
        <w:pStyle w:val="CaptionedFigure"/>
      </w:pPr>
      <w:r>
        <w:drawing>
          <wp:inline>
            <wp:extent cx="3733800" cy="2085005"/>
            <wp:effectExtent b="0" l="0" r="0" t="0"/>
            <wp:docPr descr="Рис. 9: заблаговременно перетаскиваем нужные устройства с Донской" title="" id="54" name="Picture"/>
            <a:graphic>
              <a:graphicData uri="http://schemas.openxmlformats.org/drawingml/2006/picture">
                <pic:pic>
                  <pic:nvPicPr>
                    <pic:cNvPr descr="image/9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850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заблаговременно перетаскиваем нужные устройства с Донской</w:t>
      </w:r>
    </w:p>
    <w:bookmarkEnd w:id="56"/>
    <w:p>
      <w:pPr>
        <w:pStyle w:val="BodyText"/>
      </w:pPr>
      <w:r>
        <w:t xml:space="preserve">Пример того как должна выглядеть физическая область для простраснства sochi(рис. 10).</w:t>
      </w:r>
    </w:p>
    <w:bookmarkStart w:id="60" w:name="fig:010"/>
    <w:p>
      <w:pPr>
        <w:pStyle w:val="CaptionedFigure"/>
      </w:pPr>
      <w:r>
        <w:drawing>
          <wp:inline>
            <wp:extent cx="3733800" cy="2206164"/>
            <wp:effectExtent b="0" l="0" r="0" t="0"/>
            <wp:docPr descr="Рис. 10: заблаговременно перетаскиваем нужные устройства с Донской" title="" id="58" name="Picture"/>
            <a:graphic>
              <a:graphicData uri="http://schemas.openxmlformats.org/drawingml/2006/picture">
                <pic:pic>
                  <pic:nvPicPr>
                    <pic:cNvPr descr="image/10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061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заблаговременно перетаскиваем нужные устройства с Донской</w:t>
      </w:r>
    </w:p>
    <w:bookmarkEnd w:id="60"/>
    <w:p>
      <w:pPr>
        <w:pStyle w:val="BodyText"/>
      </w:pPr>
      <w:r>
        <w:t xml:space="preserve">Соединяем все устройства(рис. 11).</w:t>
      </w:r>
    </w:p>
    <w:bookmarkStart w:id="64" w:name="fig:011"/>
    <w:p>
      <w:pPr>
        <w:pStyle w:val="CaptionedFigure"/>
      </w:pPr>
      <w:r>
        <w:drawing>
          <wp:inline>
            <wp:extent cx="3733800" cy="2130350"/>
            <wp:effectExtent b="0" l="0" r="0" t="0"/>
            <wp:docPr descr="Рис. 11: пример того как этого может выглядеть" title="" id="62" name="Picture"/>
            <a:graphic>
              <a:graphicData uri="http://schemas.openxmlformats.org/drawingml/2006/picture">
                <pic:pic>
                  <pic:nvPicPr>
                    <pic:cNvPr descr="image/11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30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пример того как этого может выглядеть</w:t>
      </w:r>
    </w:p>
    <w:bookmarkEnd w:id="64"/>
    <w:p>
      <w:pPr>
        <w:pStyle w:val="BodyText"/>
      </w:pPr>
      <w:r>
        <w:t xml:space="preserve">Первоначальная настройка для маршрутизатора q42(рис. 12) (рис. 13).</w:t>
      </w:r>
    </w:p>
    <w:bookmarkStart w:id="68" w:name="fig:012"/>
    <w:p>
      <w:pPr>
        <w:pStyle w:val="CaptionedFigure"/>
      </w:pPr>
      <w:r>
        <w:drawing>
          <wp:inline>
            <wp:extent cx="3733800" cy="3568738"/>
            <wp:effectExtent b="0" l="0" r="0" t="0"/>
            <wp:docPr descr="Рис. 12: Добавление доступов" title="" id="66" name="Picture"/>
            <a:graphic>
              <a:graphicData uri="http://schemas.openxmlformats.org/drawingml/2006/picture">
                <pic:pic>
                  <pic:nvPicPr>
                    <pic:cNvPr descr="image/12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687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Добавление доступов</w:t>
      </w:r>
    </w:p>
    <w:bookmarkEnd w:id="68"/>
    <w:bookmarkStart w:id="72" w:name="fig:013"/>
    <w:p>
      <w:pPr>
        <w:pStyle w:val="CaptionedFigure"/>
      </w:pPr>
      <w:r>
        <w:drawing>
          <wp:inline>
            <wp:extent cx="3733800" cy="3568738"/>
            <wp:effectExtent b="0" l="0" r="0" t="0"/>
            <wp:docPr descr="Рис. 13: Продолжение cli команд" title="" id="70" name="Picture"/>
            <a:graphic>
              <a:graphicData uri="http://schemas.openxmlformats.org/drawingml/2006/picture">
                <pic:pic>
                  <pic:nvPicPr>
                    <pic:cNvPr descr="image/13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687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Продолжение cli команд</w:t>
      </w:r>
    </w:p>
    <w:bookmarkEnd w:id="72"/>
    <w:p>
      <w:pPr>
        <w:pStyle w:val="BodyText"/>
      </w:pPr>
      <w:r>
        <w:t xml:space="preserve">Первоначальная настройка для коммутатора q42(рис. 14) (рис. 15).</w:t>
      </w:r>
    </w:p>
    <w:bookmarkStart w:id="76" w:name="fig:014"/>
    <w:p>
      <w:pPr>
        <w:pStyle w:val="CaptionedFigure"/>
      </w:pPr>
      <w:r>
        <w:drawing>
          <wp:inline>
            <wp:extent cx="3733800" cy="3978116"/>
            <wp:effectExtent b="0" l="0" r="0" t="0"/>
            <wp:docPr descr="Рис. 14: Добавление доступов" title="" id="74" name="Picture"/>
            <a:graphic>
              <a:graphicData uri="http://schemas.openxmlformats.org/drawingml/2006/picture">
                <pic:pic>
                  <pic:nvPicPr>
                    <pic:cNvPr descr="image/14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9781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Добавление доступов</w:t>
      </w:r>
    </w:p>
    <w:bookmarkEnd w:id="76"/>
    <w:bookmarkStart w:id="80" w:name="fig:015"/>
    <w:p>
      <w:pPr>
        <w:pStyle w:val="CaptionedFigure"/>
      </w:pPr>
      <w:r>
        <w:drawing>
          <wp:inline>
            <wp:extent cx="3733800" cy="3978116"/>
            <wp:effectExtent b="0" l="0" r="0" t="0"/>
            <wp:docPr descr="Рис. 15: Продолжение cli команд" title="" id="78" name="Picture"/>
            <a:graphic>
              <a:graphicData uri="http://schemas.openxmlformats.org/drawingml/2006/picture">
                <pic:pic>
                  <pic:nvPicPr>
                    <pic:cNvPr descr="image/15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9781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Продолжение cli команд</w:t>
      </w:r>
    </w:p>
    <w:bookmarkEnd w:id="80"/>
    <w:p>
      <w:pPr>
        <w:pStyle w:val="BodyText"/>
      </w:pPr>
      <w:r>
        <w:t xml:space="preserve">Первоначальная настройка для маршутизатора hostel(рис. 16) (рис. 17).</w:t>
      </w:r>
    </w:p>
    <w:bookmarkStart w:id="84" w:name="fig:016"/>
    <w:p>
      <w:pPr>
        <w:pStyle w:val="CaptionedFigure"/>
      </w:pPr>
      <w:r>
        <w:drawing>
          <wp:inline>
            <wp:extent cx="3733800" cy="3426247"/>
            <wp:effectExtent b="0" l="0" r="0" t="0"/>
            <wp:docPr descr="Рис. 16: Добавление доступов" title="" id="82" name="Picture"/>
            <a:graphic>
              <a:graphicData uri="http://schemas.openxmlformats.org/drawingml/2006/picture">
                <pic:pic>
                  <pic:nvPicPr>
                    <pic:cNvPr descr="image/16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262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Добавление доступов</w:t>
      </w:r>
    </w:p>
    <w:bookmarkEnd w:id="84"/>
    <w:bookmarkStart w:id="88" w:name="fig:017"/>
    <w:p>
      <w:pPr>
        <w:pStyle w:val="CaptionedFigure"/>
      </w:pPr>
      <w:r>
        <w:drawing>
          <wp:inline>
            <wp:extent cx="3733800" cy="3426247"/>
            <wp:effectExtent b="0" l="0" r="0" t="0"/>
            <wp:docPr descr="Рис. 17: Продолжение cli команд" title="" id="86" name="Picture"/>
            <a:graphic>
              <a:graphicData uri="http://schemas.openxmlformats.org/drawingml/2006/picture">
                <pic:pic>
                  <pic:nvPicPr>
                    <pic:cNvPr descr="image/17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262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Продолжение cli команд</w:t>
      </w:r>
    </w:p>
    <w:bookmarkEnd w:id="88"/>
    <w:p>
      <w:pPr>
        <w:pStyle w:val="BodyText"/>
      </w:pPr>
      <w:r>
        <w:t xml:space="preserve">Первоначальная настройка для коммутатора hostel(рис. 18) (рис. 19).</w:t>
      </w:r>
    </w:p>
    <w:bookmarkStart w:id="92" w:name="fig:018"/>
    <w:p>
      <w:pPr>
        <w:pStyle w:val="CaptionedFigure"/>
      </w:pPr>
      <w:r>
        <w:drawing>
          <wp:inline>
            <wp:extent cx="3733800" cy="3148530"/>
            <wp:effectExtent b="0" l="0" r="0" t="0"/>
            <wp:docPr descr="Рис. 18: Добавление доступов" title="" id="90" name="Picture"/>
            <a:graphic>
              <a:graphicData uri="http://schemas.openxmlformats.org/drawingml/2006/picture">
                <pic:pic>
                  <pic:nvPicPr>
                    <pic:cNvPr descr="image/18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485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Добавление доступов</w:t>
      </w:r>
    </w:p>
    <w:bookmarkEnd w:id="92"/>
    <w:bookmarkStart w:id="96" w:name="fig:019"/>
    <w:p>
      <w:pPr>
        <w:pStyle w:val="CaptionedFigure"/>
      </w:pPr>
      <w:r>
        <w:drawing>
          <wp:inline>
            <wp:extent cx="3733800" cy="3148530"/>
            <wp:effectExtent b="0" l="0" r="0" t="0"/>
            <wp:docPr descr="Рис. 19: Продолжение cli команд" title="" id="94" name="Picture"/>
            <a:graphic>
              <a:graphicData uri="http://schemas.openxmlformats.org/drawingml/2006/picture">
                <pic:pic>
                  <pic:nvPicPr>
                    <pic:cNvPr descr="image/19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485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Продолжение cli команд</w:t>
      </w:r>
    </w:p>
    <w:bookmarkEnd w:id="96"/>
    <w:p>
      <w:pPr>
        <w:pStyle w:val="BodyText"/>
      </w:pPr>
      <w:r>
        <w:t xml:space="preserve">Первоначальная настройка для коммутатора sochi(рис. 20) (рис. 21).</w:t>
      </w:r>
    </w:p>
    <w:bookmarkStart w:id="100" w:name="fig:020"/>
    <w:p>
      <w:pPr>
        <w:pStyle w:val="CaptionedFigure"/>
      </w:pPr>
      <w:r>
        <w:drawing>
          <wp:inline>
            <wp:extent cx="3733800" cy="3148530"/>
            <wp:effectExtent b="0" l="0" r="0" t="0"/>
            <wp:docPr descr="Рис. 20: Добавление доступов" title="" id="98" name="Picture"/>
            <a:graphic>
              <a:graphicData uri="http://schemas.openxmlformats.org/drawingml/2006/picture">
                <pic:pic>
                  <pic:nvPicPr>
                    <pic:cNvPr descr="image/20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485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Добавление доступов</w:t>
      </w:r>
    </w:p>
    <w:bookmarkEnd w:id="100"/>
    <w:bookmarkStart w:id="104" w:name="fig:021"/>
    <w:p>
      <w:pPr>
        <w:pStyle w:val="CaptionedFigure"/>
      </w:pPr>
      <w:r>
        <w:drawing>
          <wp:inline>
            <wp:extent cx="3733800" cy="3148530"/>
            <wp:effectExtent b="0" l="0" r="0" t="0"/>
            <wp:docPr descr="Рис. 21: Продолжение cli команд" title="" id="102" name="Picture"/>
            <a:graphic>
              <a:graphicData uri="http://schemas.openxmlformats.org/drawingml/2006/picture">
                <pic:pic>
                  <pic:nvPicPr>
                    <pic:cNvPr descr="image/21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485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Продолжение cli команд</w:t>
      </w:r>
    </w:p>
    <w:bookmarkEnd w:id="104"/>
    <w:p>
      <w:pPr>
        <w:pStyle w:val="BodyText"/>
      </w:pPr>
      <w:r>
        <w:t xml:space="preserve">Первоначальная настройка для маршрутизатора sochi(рис. 22) (рис. 23).</w:t>
      </w:r>
    </w:p>
    <w:bookmarkStart w:id="108" w:name="fig:022"/>
    <w:p>
      <w:pPr>
        <w:pStyle w:val="CaptionedFigure"/>
      </w:pPr>
      <w:r>
        <w:drawing>
          <wp:inline>
            <wp:extent cx="3733800" cy="3148530"/>
            <wp:effectExtent b="0" l="0" r="0" t="0"/>
            <wp:docPr descr="Рис. 22: Добавление доступов" title="" id="106" name="Picture"/>
            <a:graphic>
              <a:graphicData uri="http://schemas.openxmlformats.org/drawingml/2006/picture">
                <pic:pic>
                  <pic:nvPicPr>
                    <pic:cNvPr descr="image/22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485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Добавление доступов</w:t>
      </w:r>
    </w:p>
    <w:bookmarkEnd w:id="108"/>
    <w:bookmarkStart w:id="112" w:name="fig:023"/>
    <w:p>
      <w:pPr>
        <w:pStyle w:val="CaptionedFigure"/>
      </w:pPr>
      <w:r>
        <w:drawing>
          <wp:inline>
            <wp:extent cx="3733800" cy="3148530"/>
            <wp:effectExtent b="0" l="0" r="0" t="0"/>
            <wp:docPr descr="Рис. 23: Продолжение cli команд" title="" id="110" name="Picture"/>
            <a:graphic>
              <a:graphicData uri="http://schemas.openxmlformats.org/drawingml/2006/picture">
                <pic:pic>
                  <pic:nvPicPr>
                    <pic:cNvPr descr="image/23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485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Продолжение cli команд</w:t>
      </w:r>
    </w:p>
    <w:bookmarkEnd w:id="112"/>
    <w:bookmarkEnd w:id="113"/>
    <w:bookmarkStart w:id="114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Провели подготовительные мероприятия по организации взаимодействия</w:t>
      </w:r>
      <w:r>
        <w:t xml:space="preserve"> </w:t>
      </w:r>
      <w:r>
        <w:t xml:space="preserve">через сеть провайдера посредством статической маршрутизации локальной</w:t>
      </w:r>
      <w:r>
        <w:t xml:space="preserve"> </w:t>
      </w:r>
      <w:r>
        <w:t xml:space="preserve">сети с сетью основного здания, расположенного в 42-м квартале в Москве,</w:t>
      </w:r>
      <w:r>
        <w:t xml:space="preserve"> </w:t>
      </w:r>
      <w:r>
        <w:t xml:space="preserve">и сетью филиала, расположенного в г. Сочи.</w:t>
      </w:r>
    </w:p>
    <w:bookmarkEnd w:id="114"/>
    <w:bookmarkStart w:id="116" w:name="список-литературы"/>
    <w:p>
      <w:pPr>
        <w:pStyle w:val="Heading1"/>
      </w:pPr>
      <w:r>
        <w:t xml:space="preserve">Список литературы</w:t>
      </w:r>
    </w:p>
    <w:bookmarkStart w:id="115" w:name="refs"/>
    <w:bookmarkEnd w:id="115"/>
    <w:bookmarkEnd w:id="116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69" Target="media/rId69.png" /><Relationship Type="http://schemas.openxmlformats.org/officeDocument/2006/relationships/image" Id="rId73" Target="media/rId73.png" /><Relationship Type="http://schemas.openxmlformats.org/officeDocument/2006/relationships/image" Id="rId77" Target="media/rId77.png" /><Relationship Type="http://schemas.openxmlformats.org/officeDocument/2006/relationships/image" Id="rId81" Target="media/rId81.png" /><Relationship Type="http://schemas.openxmlformats.org/officeDocument/2006/relationships/image" Id="rId85" Target="media/rId85.png" /><Relationship Type="http://schemas.openxmlformats.org/officeDocument/2006/relationships/image" Id="rId89" Target="media/rId89.png" /><Relationship Type="http://schemas.openxmlformats.org/officeDocument/2006/relationships/image" Id="rId93" Target="media/rId93.png" /><Relationship Type="http://schemas.openxmlformats.org/officeDocument/2006/relationships/image" Id="rId25" Target="media/rId25.png" /><Relationship Type="http://schemas.openxmlformats.org/officeDocument/2006/relationships/image" Id="rId97" Target="media/rId97.png" /><Relationship Type="http://schemas.openxmlformats.org/officeDocument/2006/relationships/image" Id="rId101" Target="media/rId101.png" /><Relationship Type="http://schemas.openxmlformats.org/officeDocument/2006/relationships/image" Id="rId105" Target="media/rId105.png" /><Relationship Type="http://schemas.openxmlformats.org/officeDocument/2006/relationships/image" Id="rId109" Target="media/rId109.png" /><Relationship Type="http://schemas.openxmlformats.org/officeDocument/2006/relationships/image" Id="rId29" Target="media/rId29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3" Target="media/rId5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№13</dc:title>
  <dc:creator>Чесноков Артемий Павлович</dc:creator>
  <dc:language>ru-RU</dc:language>
  <cp:keywords/>
  <dcterms:created xsi:type="dcterms:W3CDTF">2025-05-10T19:38:14Z</dcterms:created>
  <dcterms:modified xsi:type="dcterms:W3CDTF">2025-05-10T19:38:14Z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True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IBM Plex Serif</vt:lpwstr>
  </property>
  <property fmtid="{D5CDD505-2E9C-101B-9397-08002B2CF9AE}" pid="61" name="mainfontoptions">
    <vt:lpwstr>Ligatures=Common,Ligatures=TeX,Scale=0.94</vt:lpwstr>
  </property>
  <property fmtid="{D5CDD505-2E9C-101B-9397-08002B2CF9AE}" pid="62" name="mathfont">
    <vt:lpwstr>STIX Two Math</vt:lpwstr>
  </property>
  <property fmtid="{D5CDD505-2E9C-101B-9397-08002B2CF9AE}" pid="63" name="mathfontoptions">
    <vt:lpwstr/>
  </property>
  <property fmtid="{D5CDD505-2E9C-101B-9397-08002B2CF9AE}" pid="64" name="monofont">
    <vt:lpwstr>IBM Plex Mono</vt:lpwstr>
  </property>
  <property fmtid="{D5CDD505-2E9C-101B-9397-08002B2CF9AE}" pid="65" name="monofontoptions">
    <vt:lpwstr>Scale=MatchLowercase,Scale=0.94,FakeStretch=0.9</vt:lpwstr>
  </property>
  <property fmtid="{D5CDD505-2E9C-101B-9397-08002B2CF9AE}" pid="66" name="nameInLink">
    <vt:lpwstr>False</vt:lpwstr>
  </property>
  <property fmtid="{D5CDD505-2E9C-101B-9397-08002B2CF9AE}" pid="67" name="numberSections">
    <vt:lpwstr>False</vt:lpwstr>
  </property>
  <property fmtid="{D5CDD505-2E9C-101B-9397-08002B2CF9AE}" pid="68" name="pairDelim">
    <vt:lpwstr>, </vt:lpwstr>
  </property>
  <property fmtid="{D5CDD505-2E9C-101B-9397-08002B2CF9AE}" pid="69" name="papersize">
    <vt:lpwstr>a4</vt:lpwstr>
  </property>
  <property fmtid="{D5CDD505-2E9C-101B-9397-08002B2CF9AE}" pid="70" name="polyglossia-lang">
    <vt:lpwstr/>
  </property>
  <property fmtid="{D5CDD505-2E9C-101B-9397-08002B2CF9AE}" pid="71" name="polyglossia-otherlangs">
    <vt:lpwstr/>
  </property>
  <property fmtid="{D5CDD505-2E9C-101B-9397-08002B2CF9AE}" pid="72" name="rangeDelim">
    <vt:lpwstr>-</vt:lpwstr>
  </property>
  <property fmtid="{D5CDD505-2E9C-101B-9397-08002B2CF9AE}" pid="73" name="refDelim">
    <vt:lpwstr>, </vt:lpwstr>
  </property>
  <property fmtid="{D5CDD505-2E9C-101B-9397-08002B2CF9AE}" pid="74" name="refIndexTemplate">
    <vt:lpwstr>isuf</vt:lpwstr>
  </property>
  <property fmtid="{D5CDD505-2E9C-101B-9397-08002B2CF9AE}" pid="75" name="romanfont">
    <vt:lpwstr>IBM Plex Serif</vt:lpwstr>
  </property>
  <property fmtid="{D5CDD505-2E9C-101B-9397-08002B2CF9AE}" pid="76" name="romanfontoptions">
    <vt:lpwstr>Ligatures=Common,Ligatures=TeX,Scale=0.94</vt:lpwstr>
  </property>
  <property fmtid="{D5CDD505-2E9C-101B-9397-08002B2CF9AE}" pid="77" name="sansfont">
    <vt:lpwstr>IBM Plex Sans</vt:lpwstr>
  </property>
  <property fmtid="{D5CDD505-2E9C-101B-9397-08002B2CF9AE}" pid="78" name="sansfontoptions">
    <vt:lpwstr>Ligatures=Common,Ligatures=TeX,Scale=MatchLowercase,Scale=0.94</vt:lpwstr>
  </property>
  <property fmtid="{D5CDD505-2E9C-101B-9397-08002B2CF9AE}" pid="79" name="secHeaderDelim">
    <vt:lpwstr> </vt:lpwstr>
  </property>
  <property fmtid="{D5CDD505-2E9C-101B-9397-08002B2CF9AE}" pid="80" name="secHeaderTemplate">
    <vt:lpwstr>isecHeaderDelim[n]t</vt:lpwstr>
  </property>
  <property fmtid="{D5CDD505-2E9C-101B-9397-08002B2CF9AE}" pid="81" name="secLabels">
    <vt:lpwstr>arabic</vt:lpwstr>
  </property>
  <property fmtid="{D5CDD505-2E9C-101B-9397-08002B2CF9AE}" pid="82" name="secPrefix">
    <vt:lpwstr/>
  </property>
  <property fmtid="{D5CDD505-2E9C-101B-9397-08002B2CF9AE}" pid="83" name="secPrefixTemplate">
    <vt:lpwstr>p i</vt:lpwstr>
  </property>
  <property fmtid="{D5CDD505-2E9C-101B-9397-08002B2CF9AE}" pid="84" name="sectionsDepth">
    <vt:lpwstr>0</vt:lpwstr>
  </property>
  <property fmtid="{D5CDD505-2E9C-101B-9397-08002B2CF9AE}" pid="85" name="subfigGrid">
    <vt:lpwstr>False</vt:lpwstr>
  </property>
  <property fmtid="{D5CDD505-2E9C-101B-9397-08002B2CF9AE}" pid="86" name="subfigLabels">
    <vt:lpwstr>alpha a</vt:lpwstr>
  </property>
  <property fmtid="{D5CDD505-2E9C-101B-9397-08002B2CF9AE}" pid="87" name="subfigureChildTemplate">
    <vt:lpwstr>i</vt:lpwstr>
  </property>
  <property fmtid="{D5CDD505-2E9C-101B-9397-08002B2CF9AE}" pid="88" name="subfigureRefIndexTemplate">
    <vt:lpwstr>isuf (s)</vt:lpwstr>
  </property>
  <property fmtid="{D5CDD505-2E9C-101B-9397-08002B2CF9AE}" pid="89" name="subfigureTemplate">
    <vt:lpwstr>figureTitle ititleDelim t. ccs</vt:lpwstr>
  </property>
  <property fmtid="{D5CDD505-2E9C-101B-9397-08002B2CF9AE}" pid="90" name="subtitle">
    <vt:lpwstr>НПИбд-02-22</vt:lpwstr>
  </property>
  <property fmtid="{D5CDD505-2E9C-101B-9397-08002B2CF9AE}" pid="91" name="tableEqns">
    <vt:lpwstr>False</vt:lpwstr>
  </property>
  <property fmtid="{D5CDD505-2E9C-101B-9397-08002B2CF9AE}" pid="92" name="tableTemplate">
    <vt:lpwstr>tableTitle ititleDelim t</vt:lpwstr>
  </property>
  <property fmtid="{D5CDD505-2E9C-101B-9397-08002B2CF9AE}" pid="93" name="tableTitle">
    <vt:lpwstr>Таблица</vt:lpwstr>
  </property>
  <property fmtid="{D5CDD505-2E9C-101B-9397-08002B2CF9AE}" pid="94" name="tblLabels">
    <vt:lpwstr>arabic</vt:lpwstr>
  </property>
  <property fmtid="{D5CDD505-2E9C-101B-9397-08002B2CF9AE}" pid="95" name="tblPrefix">
    <vt:lpwstr/>
  </property>
  <property fmtid="{D5CDD505-2E9C-101B-9397-08002B2CF9AE}" pid="96" name="tblPrefixTemplate">
    <vt:lpwstr>p i</vt:lpwstr>
  </property>
  <property fmtid="{D5CDD505-2E9C-101B-9397-08002B2CF9AE}" pid="97" name="titleDelim">
    <vt:lpwstr>:</vt:lpwstr>
  </property>
  <property fmtid="{D5CDD505-2E9C-101B-9397-08002B2CF9AE}" pid="98" name="toc">
    <vt:lpwstr>True</vt:lpwstr>
  </property>
  <property fmtid="{D5CDD505-2E9C-101B-9397-08002B2CF9AE}" pid="99" name="toc-depth">
    <vt:lpwstr>2</vt:lpwstr>
  </property>
  <property fmtid="{D5CDD505-2E9C-101B-9397-08002B2CF9AE}" pid="100" name="toc-title">
    <vt:lpwstr>Содержание</vt:lpwstr>
  </property>
</Properties>
</file>